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专家型志愿者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tbl>
      <w:tblPr>
        <w:tblStyle w:val="4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35"/>
        <w:gridCol w:w="5378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单位及职务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ascii="仿宋_GB2312" w:hAnsi="仿宋_GB2312" w:eastAsia="仿宋_GB2312" w:cs="仿宋_GB2312"/>
                <w:color w:val="C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乔  平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ascii="仿宋_GB2312" w:hAnsi="仿宋_GB2312" w:eastAsia="仿宋_GB2312" w:cs="仿宋_GB2312"/>
                <w:color w:val="C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中国文艺志愿者协会理事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广东省非物质文化遗产促进会副会长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广东人文艺术研究会会长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广州市粤港澳大湾区经济文化促进会名誉主席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崔峥嵘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广东省文联副主席、广东省音协副主席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峰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中国音协理事、中国音协创作委员会委员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唐 彪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广东省音乐家协会副主席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一级演员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9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黄健生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Style w:val="9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关山月中国画学院院长、中国美术家协会会员、广州市美术家协会副主席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9"/>
                <w:color w:val="auto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周 琦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Style w:val="9"/>
                <w:color w:val="auto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广东歌舞剧院男高音歌唱家，一级演员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李素华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中国声乐家协会副主席、广东省音乐家协会副主席、广东省文艺志愿者协会副主席、广东省声乐艺术研究会常务副主席、广东省国际文化交流中心理事、广东省文联主席团成员、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广东歌舞剧院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女高音歌唱家，一级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演员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陈洁明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中国音乐家协会流行音乐学会副主席、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名音乐人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杨湘粤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广东省音乐家协会顾问、暨南大学艺术硕士学位导师，研究馆员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平黎明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教授、指挥家、作曲家、音乐教育家、中国合唱协会理事、中国艺术职业教育学会常务理事，广东省合唱协会副会长、珠海艺术职业学院副校长兼音乐舞蹈学院院长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苏严惠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中国合唱协会常务理事、中国教育学会合唱学术委员会副主任委员、中国高校合唱委员会副会长、广东省合唱协会副会长、华南师范大学合唱指挥教授、硕士生导师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  平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音乐学博士、二级教授、博士生导师，原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华南理工大学艺术学院院长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丁  义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广东省声乐协会副主席、华南师范大学音乐学院音乐表演系主任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罗  洪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广州大学音乐舞蹈学院院长、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崔泉馨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男中音歌唱家、声乐教授、硕士生导师、星海音乐学院流行音乐学院副院长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中国音乐剧协会教学专业委员会副主任、中国音乐家协会会员、广东省声乐协会副主席、广东省“中国民族歌剧协会”副会长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穆  红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星海音乐学院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声乐教授、硕士生导师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皮晓彩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星海音乐学院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音乐教育学院副院长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教授、硕士生导师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乔建军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广东省音乐家协会副秘书长、广东省声乐协会副主席、男高音歌唱家，一级演员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谭建光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中国志愿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服务联合会研究中心副主任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、广东省社工与志愿者合作促进会会长、广东省志愿者联合会副会长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，教授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涂敏霞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广州团校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广州志愿者学院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副院长、教授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槐  涛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广州团校（广州志愿者学院）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办公室主任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杨力豪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国家文化和旅游部公共文化巡讲组专家、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文化馆协会文化志愿者专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委员会委员、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深圳市罗湖区文化馆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办公室主任，深圳市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罗湖区文化志愿者总队队长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李振华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省文化馆事业发展部研究馆员，省合唱协会副秘书长、合唱指挥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9"/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合唱指挥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才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省文化馆创作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部研究馆员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9"/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群众文艺创作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崴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省文化馆数字文化部主任、副研究馆员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9"/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数字文化服务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伟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省非物质文化遗产保护中心办公室主任、副研究馆员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9"/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非物质文化遗产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王芳辉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省非物质文化遗产保护中心办公室副主任、副研究馆员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9"/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非物质文化遗产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麦时炜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省文化馆创作研究部副研究馆员（美术专干）、省美术家协会理事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9"/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美术与书法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咏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省文化馆培训辅导部副主任（舞蹈专干）、副研究馆员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9"/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广场舞排练创编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兰天瑛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省文化馆活动策划部副主任（戏曲专业）、副研究馆员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9"/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Style w:val="9"/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郑帼婷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省文化馆数字文化部副研究馆员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9"/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互联网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+文化馆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800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br w:type="page"/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文化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和旅游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志愿服务需求申报表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填表单位（盖章）：</w:t>
      </w:r>
    </w:p>
    <w:tbl>
      <w:tblPr>
        <w:tblStyle w:val="4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165"/>
        <w:gridCol w:w="2165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实施单位</w:t>
            </w:r>
          </w:p>
        </w:tc>
        <w:tc>
          <w:tcPr>
            <w:tcW w:w="6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拟实施时间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拟实施地点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服务形式</w:t>
            </w:r>
          </w:p>
        </w:tc>
        <w:tc>
          <w:tcPr>
            <w:tcW w:w="6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□公益讲座□培训辅导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专家型志愿者姓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服务对象及人数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项目需求</w:t>
            </w:r>
          </w:p>
        </w:tc>
        <w:tc>
          <w:tcPr>
            <w:tcW w:w="6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</w:t>
      </w:r>
      <w:r>
        <w:rPr>
          <w:rFonts w:ascii="仿宋_GB2312" w:hAnsi="仿宋_GB2312" w:eastAsia="仿宋_GB2312" w:cs="仿宋_GB2312"/>
          <w:color w:val="000000"/>
          <w:sz w:val="24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填报单位为粤东西北地区相关地市文化馆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（群众艺术馆）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；</w:t>
      </w:r>
    </w:p>
    <w:p>
      <w:pPr>
        <w:ind w:firstLine="480"/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ascii="仿宋_GB2312" w:hAnsi="仿宋_GB2312" w:eastAsia="仿宋_GB2312" w:cs="仿宋_GB2312"/>
          <w:color w:val="000000"/>
          <w:sz w:val="24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实施时间具体到年月日，实施地点具体到市、县（区）级；</w:t>
      </w:r>
    </w:p>
    <w:p>
      <w:pPr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ascii="仿宋_GB2312" w:hAnsi="仿宋_GB2312" w:eastAsia="仿宋_GB2312" w:cs="仿宋_GB2312"/>
          <w:color w:val="000000"/>
          <w:sz w:val="24"/>
        </w:rPr>
        <w:t>3.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此表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日之前报至省文化馆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事业发展</w:t>
      </w:r>
      <w:r>
        <w:rPr>
          <w:rFonts w:hint="eastAsia" w:ascii="仿宋_GB2312" w:hAnsi="仿宋_GB2312" w:eastAsia="仿宋_GB2312" w:cs="仿宋_GB2312"/>
          <w:color w:val="000000"/>
          <w:sz w:val="24"/>
        </w:rPr>
        <w:t>部：</w:t>
      </w:r>
      <w:r>
        <w:rPr>
          <w:rFonts w:ascii="仿宋_GB2312" w:hAnsi="仿宋_GB2312" w:eastAsia="仿宋_GB2312" w:cs="仿宋_GB2312"/>
          <w:color w:val="000000"/>
          <w:sz w:val="24"/>
        </w:rPr>
        <w:fldChar w:fldCharType="begin"/>
      </w:r>
      <w:r>
        <w:rPr>
          <w:rFonts w:ascii="仿宋_GB2312" w:hAnsi="仿宋_GB2312" w:eastAsia="仿宋_GB2312" w:cs="仿宋_GB2312"/>
          <w:color w:val="000000"/>
          <w:sz w:val="24"/>
        </w:rPr>
        <w:instrText xml:space="preserve"> HYPERLINK "mailto:gdswhgtdb@163.com"</w:instrText>
      </w:r>
      <w:r>
        <w:rPr>
          <w:rFonts w:ascii="仿宋_GB2312" w:hAnsi="仿宋_GB2312" w:eastAsia="仿宋_GB2312" w:cs="仿宋_GB2312"/>
          <w:color w:val="000000"/>
          <w:sz w:val="24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000000"/>
          <w:lang w:val="en-US" w:eastAsia="zh-CN"/>
        </w:rPr>
        <w:t>gdswhgsyfzb</w:t>
      </w:r>
      <w:r>
        <w:rPr>
          <w:rStyle w:val="8"/>
          <w:rFonts w:hint="eastAsia" w:ascii="仿宋_GB2312" w:hAnsi="仿宋_GB2312" w:eastAsia="仿宋_GB2312" w:cs="仿宋_GB2312"/>
          <w:color w:val="000000"/>
        </w:rPr>
        <w:t>＠</w:t>
      </w:r>
      <w:r>
        <w:rPr>
          <w:rStyle w:val="8"/>
          <w:rFonts w:ascii="仿宋_GB2312" w:hAnsi="仿宋_GB2312" w:eastAsia="仿宋_GB2312" w:cs="仿宋_GB2312"/>
          <w:color w:val="000000"/>
        </w:rPr>
        <w:t>163.com</w:t>
      </w:r>
      <w:r>
        <w:rPr>
          <w:rFonts w:ascii="仿宋_GB2312" w:hAnsi="仿宋_GB2312" w:eastAsia="仿宋_GB2312" w:cs="仿宋_GB2312"/>
          <w:color w:val="000000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4"/>
        </w:rPr>
        <w:t>。</w:t>
      </w:r>
    </w:p>
    <w:p>
      <w:pPr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ind w:firstLine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2020年广东省文化和旅游志愿服务进社区培训班合作协议</w:t>
      </w:r>
    </w:p>
    <w:p>
      <w:pPr>
        <w:ind w:firstLine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广东省文化馆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根据《中华人民共和国合同法》，为维护双方正当权益，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平等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协商，甲乙双方就举办2020年广东省文化和旅游志愿服务进社区培训班相关事宜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达成以下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协议： 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1.活动名称：2020年广东省文化和旅游志愿服务进社区培训班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2.活动时间：2020年10月（具体时间待定）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二、双方责任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1.甲方负责师资聘请；乙方负责课程设置、通知发布、参训人员食宿安排、场地布置、资料制作、交通运输、现场应急等工作。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教师食宿费（1晚）、往返交通费；除甲方承担的部分费用外，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承担培训期间所产生的其它费用，包括教师授课费和参训人员的住宿费、餐费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资料费等。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本协议一式四份，甲乙双方各执两份，自双方签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字盖章后</w:t>
      </w:r>
      <w:r>
        <w:rPr>
          <w:rFonts w:hint="eastAsia" w:ascii="仿宋_GB2312" w:hAnsi="仿宋_GB2312" w:eastAsia="仿宋_GB2312" w:cs="仿宋_GB2312"/>
          <w:sz w:val="32"/>
          <w:szCs w:val="32"/>
        </w:rPr>
        <w:t>生效。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本协议若有未尽事宜，或履行中发生争议，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友好协商解决。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协商不成，均可向甲方所在地人民法院起诉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甲方（盖章）：              乙方（盖章）：</w:t>
      </w:r>
    </w:p>
    <w:p>
      <w:pPr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广东省文化馆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文化馆（群众艺术馆）</w:t>
      </w:r>
    </w:p>
    <w:p/>
    <w:p>
      <w:pPr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届广东省文化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和旅游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志愿服务进社区活动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情况登记表</w:t>
      </w:r>
    </w:p>
    <w:p>
      <w:pPr>
        <w:spacing w:line="500" w:lineRule="exact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：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联系人：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电话：</w:t>
      </w:r>
    </w:p>
    <w:tbl>
      <w:tblPr>
        <w:tblStyle w:val="4"/>
        <w:tblW w:w="15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240"/>
        <w:gridCol w:w="2160"/>
        <w:gridCol w:w="1980"/>
        <w:gridCol w:w="2520"/>
        <w:gridCol w:w="1800"/>
        <w:gridCol w:w="16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活动时间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文化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eastAsia="zh-CN"/>
              </w:rPr>
              <w:t>和旅游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志愿者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参与人数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受益人数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ind w:left="1056" w:hanging="1056" w:hangingChars="44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备注：</w:t>
      </w:r>
      <w:r>
        <w:rPr>
          <w:rFonts w:ascii="仿宋_GB2312" w:hAnsi="仿宋_GB2312" w:eastAsia="仿宋_GB2312" w:cs="仿宋_GB2312"/>
          <w:color w:val="000000"/>
          <w:sz w:val="24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请各地级市文化馆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（群众艺术馆）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于活动结束后（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日前）将此表、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活动总结、活动照片通过电子邮件形式报送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24"/>
        </w:rPr>
        <w:t>省</w:t>
      </w:r>
    </w:p>
    <w:p>
      <w:pPr>
        <w:ind w:left="1051" w:leftChars="456" w:hanging="93" w:hangingChars="39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文化馆；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邓芸芸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，</w:t>
      </w:r>
      <w:r>
        <w:rPr>
          <w:rFonts w:ascii="仿宋_GB2312" w:hAnsi="仿宋_GB2312" w:eastAsia="仿宋_GB2312" w:cs="仿宋_GB2312"/>
          <w:color w:val="000000"/>
          <w:sz w:val="24"/>
        </w:rPr>
        <w:t>020-87670097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，电子邮箱：</w:t>
      </w:r>
      <w:r>
        <w:rPr>
          <w:rFonts w:ascii="仿宋_GB2312" w:hAnsi="仿宋_GB2312" w:eastAsia="仿宋_GB2312" w:cs="仿宋_GB2312"/>
          <w:color w:val="000000"/>
          <w:sz w:val="24"/>
        </w:rPr>
        <w:fldChar w:fldCharType="begin"/>
      </w:r>
      <w:r>
        <w:rPr>
          <w:rFonts w:ascii="仿宋_GB2312" w:hAnsi="仿宋_GB2312" w:eastAsia="仿宋_GB2312" w:cs="仿宋_GB2312"/>
          <w:color w:val="000000"/>
          <w:sz w:val="24"/>
        </w:rPr>
        <w:instrText xml:space="preserve"> HYPERLINK "mailto:gdswhgtdb@163.com"</w:instrText>
      </w:r>
      <w:r>
        <w:rPr>
          <w:rFonts w:ascii="仿宋_GB2312" w:hAnsi="仿宋_GB2312" w:eastAsia="仿宋_GB2312" w:cs="仿宋_GB2312"/>
          <w:color w:val="000000"/>
          <w:sz w:val="24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000000"/>
          <w:lang w:val="en-US" w:eastAsia="zh-CN"/>
        </w:rPr>
        <w:t>gdswhgsyfzb</w:t>
      </w:r>
      <w:r>
        <w:rPr>
          <w:rStyle w:val="8"/>
          <w:rFonts w:hint="eastAsia" w:ascii="仿宋_GB2312" w:hAnsi="仿宋_GB2312" w:eastAsia="仿宋_GB2312" w:cs="仿宋_GB2312"/>
          <w:color w:val="000000"/>
        </w:rPr>
        <w:t>＠</w:t>
      </w:r>
      <w:r>
        <w:rPr>
          <w:rStyle w:val="8"/>
          <w:rFonts w:ascii="仿宋_GB2312" w:hAnsi="仿宋_GB2312" w:eastAsia="仿宋_GB2312" w:cs="仿宋_GB2312"/>
          <w:color w:val="000000"/>
        </w:rPr>
        <w:t>163.com</w:t>
      </w:r>
      <w:r>
        <w:rPr>
          <w:rFonts w:ascii="仿宋_GB2312" w:hAnsi="仿宋_GB2312" w:eastAsia="仿宋_GB2312" w:cs="仿宋_GB2312"/>
          <w:color w:val="000000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。</w:t>
      </w:r>
    </w:p>
    <w:p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82F9"/>
    <w:multiLevelType w:val="singleLevel"/>
    <w:tmpl w:val="57C682F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96D76"/>
    <w:rsid w:val="05EA1A0D"/>
    <w:rsid w:val="05F9304C"/>
    <w:rsid w:val="08AE407C"/>
    <w:rsid w:val="09AA2860"/>
    <w:rsid w:val="0BFD15C7"/>
    <w:rsid w:val="1712688F"/>
    <w:rsid w:val="1C496D76"/>
    <w:rsid w:val="1FAB34E0"/>
    <w:rsid w:val="22B13BF7"/>
    <w:rsid w:val="23630F44"/>
    <w:rsid w:val="241B5EDD"/>
    <w:rsid w:val="248C3450"/>
    <w:rsid w:val="24C22E52"/>
    <w:rsid w:val="2D872E64"/>
    <w:rsid w:val="2F823644"/>
    <w:rsid w:val="3E4D0BF5"/>
    <w:rsid w:val="3F5041DE"/>
    <w:rsid w:val="405D2833"/>
    <w:rsid w:val="43C174BC"/>
    <w:rsid w:val="4C6A4193"/>
    <w:rsid w:val="4D784AC2"/>
    <w:rsid w:val="4E0B6627"/>
    <w:rsid w:val="538710EA"/>
    <w:rsid w:val="54161822"/>
    <w:rsid w:val="57200CD9"/>
    <w:rsid w:val="5C8B4708"/>
    <w:rsid w:val="62FD5D6A"/>
    <w:rsid w:val="65CD0818"/>
    <w:rsid w:val="6A9967D7"/>
    <w:rsid w:val="6B466B62"/>
    <w:rsid w:val="70D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/>
      <w:sz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 Char Char Char Char Char Char"/>
    <w:basedOn w:val="1"/>
    <w:link w:val="5"/>
    <w:qFormat/>
    <w:uiPriority w:val="0"/>
    <w:rPr>
      <w:rFonts w:ascii="Tahoma" w:hAnsi="Tahoma"/>
      <w:sz w:val="24"/>
    </w:rPr>
  </w:style>
  <w:style w:type="character" w:styleId="7">
    <w:name w:val="page number"/>
    <w:basedOn w:val="5"/>
    <w:unhideWhenUsed/>
    <w:qFormat/>
    <w:uiPriority w:val="0"/>
    <w:rPr>
      <w:rFonts w:ascii="Tahoma" w:hAnsi="Tahoma"/>
      <w:sz w:val="24"/>
    </w:rPr>
  </w:style>
  <w:style w:type="character" w:styleId="8">
    <w:name w:val="Hyperlink"/>
    <w:basedOn w:val="5"/>
    <w:unhideWhenUsed/>
    <w:qFormat/>
    <w:uiPriority w:val="0"/>
    <w:rPr>
      <w:rFonts w:ascii="Tahoma" w:hAnsi="Tahoma"/>
      <w:color w:val="0000FF"/>
      <w:sz w:val="24"/>
      <w:u w:val="single"/>
    </w:rPr>
  </w:style>
  <w:style w:type="character" w:customStyle="1" w:styleId="9">
    <w:name w:val="ca-22"/>
    <w:basedOn w:val="5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2020-09-16T02:26:00Z</dcterms:created>
  <dc:creator>云朵</dc:creator>
  <cp:lastModifiedBy>zgt-帼</cp:lastModifiedBy>
  <cp:lastPrinted>2020-09-22T07:58:00Z</cp:lastPrinted>
  <dcterms:modified xsi:type="dcterms:W3CDTF">2020-09-22T08:44:50Z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